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Wirtgen Group en bauma: «The Future in Roadbuilding – Smart. Safe. Sustainable» </w:t>
      </w:r>
    </w:p>
    <w:p w14:paraId="26F0996C" w14:textId="7B4091FD" w:rsidR="00A46F1E" w:rsidRPr="00885678" w:rsidRDefault="00AA5014" w:rsidP="00881E44">
      <w:pPr>
        <w:pStyle w:val="Subhead"/>
      </w:pPr>
      <w:r>
        <w:t>Más de 90 productos en exposición y 33 estrenos mundiales en 13 000 m²</w:t>
      </w:r>
    </w:p>
    <w:p w14:paraId="009AA16D" w14:textId="31A0E005" w:rsidR="00E24215" w:rsidRDefault="00885678" w:rsidP="00E24215">
      <w:pPr>
        <w:pStyle w:val="Teaser"/>
      </w:pPr>
      <w:r>
        <w:t xml:space="preserve">Con soluciones sostenibles y, por tanto, pioneras para la construcción de carreteras, Wirtgen Group presenta en Múnich su gran capacidad de innovación. A la vanguardia del sector y como segundo expositor más grande, compartirá de nuevo presencia con John Deere. El eslogan conjunto de la feria es: «The Future in Roadbuilding – Smart. Safe. Sustainable». </w:t>
      </w:r>
    </w:p>
    <w:p w14:paraId="01FE5DB2" w14:textId="77777777" w:rsidR="00E24215" w:rsidRDefault="00E24215" w:rsidP="00E24215">
      <w:pPr>
        <w:pStyle w:val="Teaser"/>
      </w:pPr>
    </w:p>
    <w:p w14:paraId="70246DC3" w14:textId="77777777" w:rsidR="00E24215" w:rsidRDefault="00177214" w:rsidP="00E24215">
      <w:pPr>
        <w:pStyle w:val="Teaser"/>
      </w:pPr>
      <w:r>
        <w:t xml:space="preserve">La construcción de carreteras sostenible, en el punto de mira  </w:t>
      </w:r>
    </w:p>
    <w:p w14:paraId="44ACC25D" w14:textId="21C064EC" w:rsidR="005D29B1" w:rsidRDefault="005D29B1" w:rsidP="00E24215">
      <w:pPr>
        <w:pStyle w:val="Teaser"/>
        <w:rPr>
          <w:b w:val="0"/>
          <w:bCs/>
        </w:rPr>
      </w:pPr>
      <w:r>
        <w:rPr>
          <w:b w:val="0"/>
        </w:rPr>
        <w:t xml:space="preserve">Wirtgen Group ayuda a sus clientes a llevar a la práctica de forma rápida y rentable la creciente demanda de infraestructuras y cumplir ya desde ahora los requisitos </w:t>
      </w:r>
      <w:bookmarkStart w:id="0" w:name="_Hlk103702274"/>
      <w:r>
        <w:rPr>
          <w:b w:val="0"/>
        </w:rPr>
        <w:t xml:space="preserve">cada vez más altos </w:t>
      </w:r>
      <w:bookmarkEnd w:id="0"/>
      <w:r>
        <w:rPr>
          <w:b w:val="0"/>
        </w:rPr>
        <w:t>de los criterios de licitación en cuanto a protección medioambiental y seguridad para el ser humano y la naturaleza. Esto incluye no solo soluciones para cada una de las máquinas y sus tecnologías de propulsión, sino también para sistemas de producción completos en el ámbito de la construcción de carreteras.</w:t>
      </w:r>
    </w:p>
    <w:p w14:paraId="7F739846" w14:textId="2D52D65A" w:rsidR="005D29B1" w:rsidRDefault="0052300F" w:rsidP="005D29B1">
      <w:pPr>
        <w:pStyle w:val="Standardabsatz"/>
        <w:spacing w:after="0"/>
        <w:rPr>
          <w:b/>
          <w:bCs/>
        </w:rPr>
      </w:pPr>
      <w:r>
        <w:rPr>
          <w:b/>
        </w:rPr>
        <w:t>Sistemas de producción inteligentes</w:t>
      </w:r>
      <w:r>
        <w:t xml:space="preserve"> </w:t>
      </w:r>
      <w:r>
        <w:rPr>
          <w:b/>
        </w:rPr>
        <w:t>en</w:t>
      </w:r>
      <w:r>
        <w:t xml:space="preserve"> </w:t>
      </w:r>
      <w:r>
        <w:rPr>
          <w:b/>
        </w:rPr>
        <w:t xml:space="preserve">un área de exposición propia </w:t>
      </w:r>
    </w:p>
    <w:p w14:paraId="684C6270" w14:textId="7486D3D6" w:rsidR="00BD25D1" w:rsidRPr="009853B6" w:rsidRDefault="0012631C" w:rsidP="00BD25D1">
      <w:pPr>
        <w:pStyle w:val="Standardabsatz"/>
      </w:pPr>
      <w:r>
        <w:t xml:space="preserve">El grupo empresarial considera en su conjunto todo el proceso de construcción de carreteras puesto que, en suma, ahí radica el mayor potencial ecológico y económico. Las soluciones de sistema de Wirtgen Group cubren toda la cadena de procesos, y la empresa muestra en un área de exposición propia una sección transversal de su capacidad integral. Así, los visitantes especializados adquirirán perspectivas de cómo los clientes pueden implementar de forma rentable y sostenible sus proyectos de construcción de carreteras gracias a la interacción eficiente entre las máquinas de construcción y las soluciones técnicas de las marcas de productos especializadas Wirtgen, Vögele, Hamm, Kleemann y Benninghoven. </w:t>
      </w:r>
    </w:p>
    <w:p w14:paraId="55696270" w14:textId="363AD8C0" w:rsidR="00BD25D1" w:rsidRPr="001C7305" w:rsidRDefault="00DB2E75" w:rsidP="00754B80">
      <w:pPr>
        <w:pStyle w:val="Absatzberschrift"/>
      </w:pPr>
      <w:r>
        <w:t>La digitalización como impulso para la seguridad y la sostenibilidad</w:t>
      </w:r>
    </w:p>
    <w:p w14:paraId="34E892D3" w14:textId="1F299389" w:rsidR="00461FED" w:rsidRDefault="00DB2E75" w:rsidP="001C7305">
      <w:pPr>
        <w:pStyle w:val="Standardabsatz"/>
      </w:pPr>
      <w:r>
        <w:t>Además de la eficiencia de las máquinas y los métodos de aplicación alternativos, la digitalización y las soluciones de sistema interconectadas son importantes factores que impulsan la evolución del proceso general en la construcción de carreteras. En la denominada «Technology Zone», Wirtgen Group expone tecnologías principales específicas de las distintas aplicaciones junto a las tecnologías y soluciones digitales del mañana disponibles ya desde hoy mismo.</w:t>
      </w:r>
    </w:p>
    <w:p w14:paraId="1D1ABCAD" w14:textId="77777777" w:rsidR="00461FED" w:rsidRPr="00461FED" w:rsidRDefault="00461FED" w:rsidP="00461FED">
      <w:pPr>
        <w:spacing w:line="276" w:lineRule="auto"/>
        <w:contextualSpacing/>
        <w:rPr>
          <w:rFonts w:cs="Calibri"/>
          <w:b/>
          <w:bCs/>
          <w:sz w:val="22"/>
          <w:szCs w:val="22"/>
        </w:rPr>
      </w:pPr>
      <w:r>
        <w:rPr>
          <w:b/>
          <w:sz w:val="22"/>
        </w:rPr>
        <w:t>Wirtgen Group, con su propia estrategia de sostenibilidad</w:t>
      </w:r>
    </w:p>
    <w:p w14:paraId="172DB497" w14:textId="2B1F6584" w:rsidR="000649AF" w:rsidRDefault="007A6607" w:rsidP="00BB7AC8">
      <w:pPr>
        <w:spacing w:line="276" w:lineRule="auto"/>
        <w:jc w:val="both"/>
        <w:rPr>
          <w:sz w:val="22"/>
        </w:rPr>
      </w:pPr>
      <w:r>
        <w:rPr>
          <w:sz w:val="22"/>
        </w:rPr>
        <w:t>Wirtgen Group es pionero de una mayor movilidad</w:t>
      </w:r>
      <w:r>
        <w:t xml:space="preserve"> </w:t>
      </w:r>
      <w:r>
        <w:rPr>
          <w:sz w:val="22"/>
        </w:rPr>
        <w:t>en la construcción de carreteras. En este sentido, la sostenibilidad es uno de los pilares de la estrategia empresarial. Como parte de la división Construction and Forestry de John Deere, los objetivos de sostenibilidad de Wirtgen Group se integran en el marco de la estrategia general. Así, por ejemplo, se deben reducir considerablemente de aquí al año 2030 las emisiones de CO</w:t>
      </w:r>
      <w:r>
        <w:rPr>
          <w:sz w:val="22"/>
          <w:vertAlign w:val="subscript"/>
        </w:rPr>
        <w:t>2</w:t>
      </w:r>
      <w:r>
        <w:rPr>
          <w:sz w:val="22"/>
        </w:rPr>
        <w:t xml:space="preserve">e generadas con el transporte y el uso de las máquinas de construcción y en el funcionamiento general de las fábricas y sedes propias. Al mismo tiempo, el número de soluciones de máquinas y tecnologías sostenibles se incrementará continuamente </w:t>
      </w:r>
      <w:r>
        <w:rPr>
          <w:sz w:val="22"/>
        </w:rPr>
        <w:lastRenderedPageBreak/>
        <w:t>hasta el año 2026. En la terraza de la azotea de la «Technology Zone», los visitantes del estand de Wirtgen Group descubrirán en una exposición específica más información sobre los objetivos de sostenibilidad de la empresa.</w:t>
      </w:r>
    </w:p>
    <w:p w14:paraId="6E86321F" w14:textId="77777777" w:rsidR="00BB7AC8" w:rsidRDefault="00BB7AC8" w:rsidP="00BB7AC8">
      <w:pPr>
        <w:spacing w:line="276" w:lineRule="auto"/>
        <w:jc w:val="both"/>
        <w:rPr>
          <w:rFonts w:eastAsiaTheme="minorHAnsi" w:cstheme="minorBidi"/>
          <w:b/>
          <w:sz w:val="22"/>
          <w:szCs w:val="24"/>
        </w:rPr>
      </w:pPr>
    </w:p>
    <w:p w14:paraId="6F696BAE" w14:textId="4FA56558" w:rsidR="006D6CC6" w:rsidRDefault="00AE4AB4" w:rsidP="006D6CC6">
      <w:pPr>
        <w:pStyle w:val="Absatzberschrift"/>
      </w:pPr>
      <w:r>
        <w:t>Estrenos mundiales e innovaciones en todas las marcas de productos</w:t>
      </w:r>
    </w:p>
    <w:p w14:paraId="3568E73E" w14:textId="77777777" w:rsidR="009D4AF0" w:rsidRDefault="00FE2795" w:rsidP="00725442">
      <w:pPr>
        <w:pStyle w:val="Standardabsatz"/>
      </w:pPr>
      <w:r>
        <w:t xml:space="preserve">La orientación sostenible de Wirtgen Group se refleja también en los estrenos mundiales e innovaciones de sus marcas de productos. </w:t>
      </w:r>
    </w:p>
    <w:p w14:paraId="3F57AEBE" w14:textId="5D3F4F12" w:rsidR="00337387" w:rsidRDefault="00283D98" w:rsidP="00725442">
      <w:pPr>
        <w:pStyle w:val="Standardabsatz"/>
      </w:pPr>
      <w:r>
        <w:t xml:space="preserve">Así, el control de máquina Mill Assist permite ahora un uso sostenible y eficiente de las máquinas también en la nueva generación de fresadoras compactas de </w:t>
      </w:r>
      <w:r>
        <w:rPr>
          <w:b/>
        </w:rPr>
        <w:t>Wirtgen</w:t>
      </w:r>
      <w:r>
        <w:t xml:space="preserve">. Con la planta mezcladora para el reciclado en frío KMA 240i, además de elaborar material mezclado de alta calidad a partir de materiales de construcción reciclados, ahora también es posible producir capas de base ligadas de forma hidráulica. </w:t>
      </w:r>
    </w:p>
    <w:p w14:paraId="60C96045" w14:textId="46DD639D" w:rsidR="00BB7AC8" w:rsidRDefault="00BB7AC8" w:rsidP="00725442">
      <w:pPr>
        <w:pStyle w:val="Standardabsatz"/>
      </w:pPr>
      <w:r w:rsidRPr="00BB7AC8">
        <w:t xml:space="preserve">El hecho de que el verde es en </w:t>
      </w:r>
      <w:r w:rsidRPr="00BB7AC8">
        <w:rPr>
          <w:b/>
          <w:bCs/>
        </w:rPr>
        <w:t>Vögele</w:t>
      </w:r>
      <w:r w:rsidRPr="00BB7AC8">
        <w:t xml:space="preserve"> más que un mero color en las máquinas queda demostrado por las extendedoras de la nueva generación Strich-5. Se exponen las extendedoras SUPER 1900-5(i) y  SUPER 2100-5(i) de la Highway Class y las reglas extensibles AB 500 y AB 600 de última generación.</w:t>
      </w:r>
    </w:p>
    <w:p w14:paraId="6324D971" w14:textId="21183D42" w:rsidR="00337387" w:rsidRDefault="00F20E0A" w:rsidP="00725442">
      <w:pPr>
        <w:pStyle w:val="Standardabsatz"/>
      </w:pPr>
      <w:r>
        <w:t xml:space="preserve">Allí donde hay que compactar completamente sin emisiones, a partir de ahora podrán encargarse de la compactación los rodillos tándem de la serie HD CompactLine de </w:t>
      </w:r>
      <w:r>
        <w:rPr>
          <w:b/>
        </w:rPr>
        <w:t>Hamm</w:t>
      </w:r>
      <w:r>
        <w:t xml:space="preserve"> con propulsión eléctrica. Los rodillos tándem eléctricos son ideales para todas las áreas donde se debe compactar de una forma especialmente silenciosa. Puesto que a menudo también se requiere una baja carga por vibraciones, el especialista en compactación presenta, además de rodillos de vibración y oscilación eléctricos, también un rodillo combinado eléctrico con oscilación.</w:t>
      </w:r>
    </w:p>
    <w:p w14:paraId="566EE77F" w14:textId="7F635BBB" w:rsidR="00337387" w:rsidRDefault="000A65B5" w:rsidP="00725442">
      <w:pPr>
        <w:pStyle w:val="Standardabsatz"/>
      </w:pPr>
      <w:r>
        <w:t xml:space="preserve">La propulsión del nuevo molino de impacto MOBIREX MR 130(i) PRO de </w:t>
      </w:r>
      <w:r>
        <w:rPr>
          <w:b/>
        </w:rPr>
        <w:t>Kleemann</w:t>
      </w:r>
      <w:r>
        <w:t xml:space="preserve"> también es completamente eléctrica. Gracias a la posibilidad de la alimentación de corriente externa, la unidad consigue en el tratamiento de materiales un producto final con un bajo consumo de energía por tonelada. </w:t>
      </w:r>
    </w:p>
    <w:p w14:paraId="65CA085B" w14:textId="1BC652F1" w:rsidR="00337387" w:rsidRDefault="00725442" w:rsidP="00725442">
      <w:pPr>
        <w:pStyle w:val="Standardabsatz"/>
      </w:pPr>
      <w:r>
        <w:t xml:space="preserve">Para una producción de asfalto sostenible con plantas mezcladoras en el proceso de producción discontinua (Batch), </w:t>
      </w:r>
      <w:r>
        <w:rPr>
          <w:b/>
        </w:rPr>
        <w:t>Benninghoven</w:t>
      </w:r>
      <w:r>
        <w:t xml:space="preserve"> presenta el innovador sistema Revoc, entre otros. Con el quemador multicombustible EVO JET se pueden utilizar combustibles regenerativos como la Biomass to Liquid (BtL) y el polvo de madera. Ambos combustibles presentan un balance de CO</w:t>
      </w:r>
      <w:r>
        <w:rPr>
          <w:vertAlign w:val="subscript"/>
        </w:rPr>
        <w:t>2</w:t>
      </w:r>
      <w:r>
        <w:t xml:space="preserve"> neutro. Para el almacenamiento de betún igualmente neutro en cuanto a CO</w:t>
      </w:r>
      <w:r>
        <w:rPr>
          <w:vertAlign w:val="subscript"/>
        </w:rPr>
        <w:t>2</w:t>
      </w:r>
      <w:r>
        <w:t xml:space="preserve">, Benninghoven ofrece depósitos de betún con calefacción eléctrica. </w:t>
      </w:r>
    </w:p>
    <w:p w14:paraId="4DE781AF" w14:textId="463008CC" w:rsidR="006D6CC6" w:rsidRDefault="00D51F02" w:rsidP="00337387">
      <w:pPr>
        <w:pStyle w:val="Standardabsatz"/>
      </w:pPr>
      <w:r>
        <w:t xml:space="preserve">Además, con la iNova 2000, Wirtgen Group presenta por primera vez una planta de mezcla asfáltica de </w:t>
      </w:r>
      <w:r>
        <w:rPr>
          <w:b/>
        </w:rPr>
        <w:t>Ciber</w:t>
      </w:r>
      <w:r>
        <w:t xml:space="preserve"> para el mercado mundial. Ciber es el fabricante líder de Latinoamérica de plantas de mezcla asfáltica para el proceso de producción continuo (Continuous). En los mercados donde se emplean ambos métodos —Batch y Continuous—, Ciber complementa como sexta marca de productos de Wirtgen Group la cartera del grupo empresarial de plantas de mezcla asfáltica específicas para mercados concretos.</w:t>
      </w:r>
    </w:p>
    <w:p w14:paraId="07D2E005" w14:textId="72069860" w:rsidR="00337387" w:rsidRPr="00337387" w:rsidRDefault="00337387" w:rsidP="00337387">
      <w:pPr>
        <w:pStyle w:val="Standardabsatz"/>
      </w:pPr>
      <w:r>
        <w:rPr>
          <w:b/>
        </w:rPr>
        <w:t>John Deere</w:t>
      </w:r>
      <w:r>
        <w:t xml:space="preserve"> acude a la feria con una selección de máquinas de construcción y las tecnologías correspondientes diseñadas a la medida del mercado europeo y que son complementarias con la cartera de productos de Wirtgen Group.</w:t>
      </w:r>
    </w:p>
    <w:p w14:paraId="31412CCB" w14:textId="22FB55A6" w:rsidR="00E15EBE" w:rsidRDefault="00E15EBE" w:rsidP="00E15EBE">
      <w:pPr>
        <w:pStyle w:val="Fotos"/>
      </w:pPr>
      <w:r>
        <w:lastRenderedPageBreak/>
        <w:t xml:space="preserve">Fotos: </w:t>
      </w:r>
    </w:p>
    <w:p w14:paraId="7E3AB7FA" w14:textId="737DAD5D" w:rsidR="00BB7AC8" w:rsidRPr="00D200BF" w:rsidRDefault="00BB7AC8" w:rsidP="00BB7AC8">
      <w:pPr>
        <w:pStyle w:val="BUbold"/>
      </w:pPr>
      <w:r>
        <w:rPr>
          <w:noProof/>
        </w:rPr>
        <w:drawing>
          <wp:inline distT="0" distB="0" distL="0" distR="0" wp14:anchorId="78F829C0" wp14:editId="602258BD">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EF20EE">
        <w:tab/>
      </w:r>
      <w:r w:rsidR="00EF20EE">
        <w:tab/>
      </w:r>
      <w:r>
        <w:br/>
      </w:r>
      <w:r w:rsidR="00ED0C08">
        <w:t>WG_Motto_Bauma 2022_PR</w:t>
      </w:r>
      <w:r w:rsidR="00EF20EE">
        <w:tab/>
      </w:r>
      <w:r w:rsidR="00ED0C08">
        <w:tab/>
      </w:r>
    </w:p>
    <w:p w14:paraId="2DB0F6C8" w14:textId="67B07422" w:rsidR="00BB7AC8" w:rsidRDefault="00BB7AC8" w:rsidP="00BB7AC8">
      <w:pPr>
        <w:pStyle w:val="BUnormal"/>
      </w:pPr>
      <w:r w:rsidRPr="00BB7AC8">
        <w:t>Wirtgen Group en bauma:</w:t>
      </w:r>
      <w:r>
        <w:t xml:space="preserve"> </w:t>
      </w:r>
      <w:r w:rsidRPr="00BB7AC8">
        <w:t>Con soluciones sostenibles y, por tanto, pioneras para la construcción de carreteras, Wirtgen Group presenta en Múnich su gran capacidad de innovación</w:t>
      </w:r>
      <w:r>
        <w:t>.</w:t>
      </w:r>
    </w:p>
    <w:p w14:paraId="1F11857C" w14:textId="77777777" w:rsidR="00BB7AC8" w:rsidRPr="002309FC" w:rsidRDefault="00BB7AC8" w:rsidP="00E15EBE">
      <w:pPr>
        <w:pStyle w:val="Fotos"/>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En las nuevas fresadoras compactas W 100 Fi, W 120 Fi y W 130 Fi de Wirtgen, factores como las dimensiones compactas y el peso de máquina optimizado garantizan un uso muy versátil también en obras con espacio reducido.</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r>
        <w:rPr>
          <w:b w:val="0"/>
        </w:rPr>
        <w:t xml:space="preserve">Vögele presenta la primera extendedora con reglas de extendido a juego de la nueva generación «Strich 5».  </w:t>
      </w:r>
    </w:p>
    <w:p w14:paraId="3E2E4EFA" w14:textId="0B49F95A" w:rsidR="00D200BF" w:rsidRDefault="00D200BF" w:rsidP="00D200BF">
      <w:pPr>
        <w:pStyle w:val="BUnormal"/>
      </w:pPr>
    </w:p>
    <w:p w14:paraId="543D5FA7" w14:textId="4835C008" w:rsidR="00175AEA" w:rsidRPr="000B1BB3" w:rsidRDefault="00A9162D" w:rsidP="00175AEA">
      <w:pPr>
        <w:pStyle w:val="BUbold"/>
      </w:pPr>
      <w:r>
        <w:rPr>
          <w:noProof/>
        </w:rPr>
        <w:lastRenderedPageBreak/>
        <w:drawing>
          <wp:inline distT="0" distB="0" distL="0" distR="0" wp14:anchorId="243CA728" wp14:editId="27D29133">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A22284" w:rsidRPr="00A22284">
        <w:t>HAMM_HD 10e-HD 12e</w:t>
      </w:r>
      <w:r>
        <w:t xml:space="preserve"> </w:t>
      </w:r>
    </w:p>
    <w:p w14:paraId="28CEE53A" w14:textId="59580CD3" w:rsidR="00D200BF" w:rsidRDefault="00175AEA" w:rsidP="00175AEA">
      <w:pPr>
        <w:pStyle w:val="BUbold"/>
        <w:rPr>
          <w:b w:val="0"/>
        </w:rPr>
      </w:pPr>
      <w:r>
        <w:rPr>
          <w:b w:val="0"/>
        </w:rPr>
        <w:t xml:space="preserve">Con ocho modelos de la HD CompactLine, Hamm se introduce en el segmento de mercado de los rodillos tándem con propulsión eléctrica.  </w:t>
      </w:r>
    </w:p>
    <w:p w14:paraId="21F0D4DE" w14:textId="77777777" w:rsidR="00BB7AC8" w:rsidRPr="00BB7AC8" w:rsidRDefault="00BB7AC8" w:rsidP="00BB7AC8">
      <w:pPr>
        <w:pStyle w:val="BUnormal"/>
      </w:pPr>
    </w:p>
    <w:p w14:paraId="51795031" w14:textId="3524A198" w:rsidR="00175AEA" w:rsidRPr="00A9162D" w:rsidRDefault="00175AEA">
      <w:pPr>
        <w:rPr>
          <w:rFonts w:eastAsiaTheme="minorHAnsi" w:cstheme="minorBidi"/>
          <w:i/>
          <w:noProof/>
          <w:color w:val="000000"/>
          <w:sz w:val="20"/>
          <w:szCs w:val="20"/>
        </w:rPr>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 xml:space="preserve">El molino de impacto MOBIREX MR 130(i) PRO es el nuevo miembro en la familia de la línea PRO de Kleemann.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r>
        <w:rPr>
          <w:b/>
          <w:sz w:val="20"/>
        </w:rPr>
        <w:t xml:space="preserve">BENNINGHOVEN_Weltpremiere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El sistema REVOC de Benninghoven es una solución para la reducción de las emisiones en la producción de asfalto que les permite a las plantas mezcladoras ya existentes funcionar de una forma más eficiente y ecológica.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Nota: estas fotos sirven únicamente de vista previa. Para la impresión en las publicaciones, por favor, utilice fotos con una resolución de 300 dpi que podrá descargar de las páginas web de Wirtgen GmbH y de Wirtgen Group.</w:t>
      </w:r>
    </w:p>
    <w:p w14:paraId="748ED4CB" w14:textId="77777777" w:rsidR="00320155" w:rsidRDefault="00320155" w:rsidP="00E15EBE">
      <w:pPr>
        <w:pStyle w:val="Absatzberschrift"/>
        <w:rPr>
          <w:iCs/>
        </w:rPr>
      </w:pPr>
    </w:p>
    <w:p w14:paraId="702E7B41" w14:textId="77777777" w:rsidR="00BB7AC8" w:rsidRDefault="00BB7AC8">
      <w:pPr>
        <w:rPr>
          <w:rFonts w:eastAsiaTheme="minorHAnsi" w:cstheme="minorBidi"/>
          <w:b/>
          <w:sz w:val="22"/>
          <w:szCs w:val="24"/>
        </w:rPr>
      </w:pPr>
      <w:r>
        <w:br w:type="page"/>
      </w:r>
    </w:p>
    <w:p w14:paraId="55931FB8" w14:textId="2F2316CD" w:rsidR="00E15EBE" w:rsidRDefault="00E15EBE" w:rsidP="00E15EBE">
      <w:pPr>
        <w:pStyle w:val="Absatzberschrift"/>
        <w:rPr>
          <w:iCs/>
        </w:rPr>
      </w:pPr>
      <w:r>
        <w:lastRenderedPageBreak/>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Teléfono: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Correo electrónico: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1AF3"/>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3A41"/>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2284"/>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B7AC8"/>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D0C08"/>
    <w:rsid w:val="00EE2898"/>
    <w:rsid w:val="00EF20EE"/>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1086</Words>
  <Characters>6847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2022-06-13T08:39:00Z</dcterms:created>
  <dcterms:modified xsi:type="dcterms:W3CDTF">2022-06-23T11:03:00Z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